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 xml:space="preserve"> 北京市监狱管理局清河分局机关2026-2027年度物业服务项目采购需求</w:t>
      </w:r>
    </w:p>
    <w:p>
      <w:pPr>
        <w:spacing w:line="360" w:lineRule="auto"/>
        <w:jc w:val="center"/>
        <w:outlineLvl w:val="0"/>
        <w:rPr>
          <w:b/>
          <w:sz w:val="36"/>
          <w:szCs w:val="36"/>
        </w:rPr>
      </w:pPr>
      <w:r>
        <w:rPr>
          <w:b/>
          <w:sz w:val="36"/>
          <w:szCs w:val="36"/>
        </w:rPr>
        <w:t>采购需求</w:t>
      </w:r>
    </w:p>
    <w:p>
      <w:pPr>
        <w:adjustRightInd w:val="0"/>
        <w:spacing w:line="560" w:lineRule="exact"/>
        <w:jc w:val="left"/>
        <w:textAlignment w:val="baseline"/>
        <w:rPr>
          <w:rFonts w:hint="eastAsia" w:ascii="黑体" w:hAnsi="黑体" w:eastAsia="黑体" w:cs="黑体"/>
          <w:b/>
          <w:sz w:val="32"/>
          <w:szCs w:val="32"/>
        </w:rPr>
      </w:pPr>
      <w:r>
        <w:rPr>
          <w:rFonts w:hint="eastAsia" w:ascii="黑体" w:hAnsi="黑体" w:eastAsia="黑体" w:cs="黑体"/>
          <w:b/>
          <w:sz w:val="32"/>
          <w:szCs w:val="32"/>
        </w:rPr>
        <w:t xml:space="preserve"> 一、采购清单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361"/>
        <w:gridCol w:w="1134"/>
        <w:gridCol w:w="1022"/>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spacing w:line="540" w:lineRule="exact"/>
              <w:jc w:val="center"/>
              <w:rPr>
                <w:rFonts w:hint="eastAsia" w:ascii="仿宋" w:hAnsi="仿宋" w:eastAsia="仿宋" w:cs="仿宋"/>
                <w:b/>
                <w:sz w:val="32"/>
                <w:szCs w:val="32"/>
              </w:rPr>
            </w:pPr>
            <w:r>
              <w:rPr>
                <w:rFonts w:hint="eastAsia" w:ascii="仿宋" w:hAnsi="仿宋" w:eastAsia="仿宋" w:cs="仿宋"/>
                <w:b/>
                <w:sz w:val="32"/>
                <w:szCs w:val="32"/>
              </w:rPr>
              <w:t>序号</w:t>
            </w:r>
          </w:p>
        </w:tc>
        <w:tc>
          <w:tcPr>
            <w:tcW w:w="3361" w:type="dxa"/>
            <w:noWrap w:val="0"/>
            <w:vAlign w:val="center"/>
          </w:tcPr>
          <w:p>
            <w:pPr>
              <w:spacing w:line="540" w:lineRule="exact"/>
              <w:jc w:val="center"/>
              <w:rPr>
                <w:rFonts w:hint="eastAsia" w:ascii="仿宋" w:hAnsi="仿宋" w:eastAsia="仿宋" w:cs="仿宋"/>
                <w:b/>
                <w:sz w:val="32"/>
                <w:szCs w:val="32"/>
              </w:rPr>
            </w:pPr>
            <w:r>
              <w:rPr>
                <w:rFonts w:hint="eastAsia" w:ascii="仿宋" w:hAnsi="仿宋" w:eastAsia="仿宋" w:cs="仿宋"/>
                <w:b/>
                <w:sz w:val="32"/>
                <w:szCs w:val="32"/>
              </w:rPr>
              <w:t>货物或服务名称</w:t>
            </w:r>
          </w:p>
        </w:tc>
        <w:tc>
          <w:tcPr>
            <w:tcW w:w="1134" w:type="dxa"/>
            <w:noWrap w:val="0"/>
            <w:vAlign w:val="center"/>
          </w:tcPr>
          <w:p>
            <w:pPr>
              <w:spacing w:line="540" w:lineRule="exact"/>
              <w:jc w:val="center"/>
              <w:rPr>
                <w:rFonts w:hint="eastAsia" w:ascii="仿宋" w:hAnsi="仿宋" w:eastAsia="仿宋" w:cs="仿宋"/>
                <w:b/>
                <w:sz w:val="32"/>
                <w:szCs w:val="32"/>
              </w:rPr>
            </w:pPr>
            <w:r>
              <w:rPr>
                <w:rFonts w:hint="eastAsia" w:ascii="仿宋" w:hAnsi="仿宋" w:eastAsia="仿宋" w:cs="仿宋"/>
                <w:b/>
                <w:sz w:val="32"/>
                <w:szCs w:val="32"/>
              </w:rPr>
              <w:t>数量</w:t>
            </w:r>
          </w:p>
        </w:tc>
        <w:tc>
          <w:tcPr>
            <w:tcW w:w="1022" w:type="dxa"/>
            <w:noWrap w:val="0"/>
            <w:vAlign w:val="center"/>
          </w:tcPr>
          <w:p>
            <w:pPr>
              <w:spacing w:line="540" w:lineRule="exact"/>
              <w:jc w:val="center"/>
              <w:rPr>
                <w:rFonts w:hint="eastAsia" w:ascii="仿宋" w:hAnsi="仿宋" w:eastAsia="仿宋" w:cs="仿宋"/>
                <w:b/>
                <w:sz w:val="32"/>
                <w:szCs w:val="32"/>
              </w:rPr>
            </w:pPr>
            <w:r>
              <w:rPr>
                <w:rFonts w:hint="eastAsia" w:ascii="仿宋" w:hAnsi="仿宋" w:eastAsia="仿宋" w:cs="仿宋"/>
                <w:b/>
                <w:sz w:val="32"/>
                <w:szCs w:val="32"/>
              </w:rPr>
              <w:t>单位</w:t>
            </w:r>
          </w:p>
        </w:tc>
        <w:tc>
          <w:tcPr>
            <w:tcW w:w="1947" w:type="dxa"/>
            <w:noWrap w:val="0"/>
            <w:vAlign w:val="center"/>
          </w:tcPr>
          <w:p>
            <w:pPr>
              <w:spacing w:line="540" w:lineRule="exact"/>
              <w:jc w:val="center"/>
              <w:rPr>
                <w:rFonts w:hint="eastAsia" w:ascii="仿宋" w:hAnsi="仿宋" w:cs="仿宋"/>
                <w:b/>
                <w:sz w:val="32"/>
                <w:szCs w:val="32"/>
              </w:rPr>
            </w:pPr>
            <w:r>
              <w:rPr>
                <w:rFonts w:hint="eastAsia" w:ascii="仿宋" w:hAnsi="仿宋" w:eastAsia="仿宋" w:cs="仿宋"/>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spacing w:line="54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3361" w:type="dxa"/>
            <w:noWrap w:val="0"/>
            <w:vAlign w:val="top"/>
          </w:tcPr>
          <w:p>
            <w:pPr>
              <w:spacing w:line="540" w:lineRule="exact"/>
              <w:rPr>
                <w:rFonts w:hint="eastAsia" w:ascii="仿宋" w:hAnsi="仿宋" w:eastAsia="仿宋" w:cs="仿宋"/>
                <w:sz w:val="32"/>
                <w:szCs w:val="32"/>
              </w:rPr>
            </w:pPr>
            <w:r>
              <w:rPr>
                <w:rFonts w:hint="eastAsia" w:ascii="仿宋" w:hAnsi="仿宋" w:eastAsia="仿宋" w:cs="仿宋"/>
                <w:sz w:val="32"/>
                <w:szCs w:val="32"/>
              </w:rPr>
              <w:t>北京市监狱管理局清河分局机关2026-2027年度物业服务项目</w:t>
            </w:r>
          </w:p>
        </w:tc>
        <w:tc>
          <w:tcPr>
            <w:tcW w:w="1134" w:type="dxa"/>
            <w:noWrap w:val="0"/>
            <w:vAlign w:val="center"/>
          </w:tcPr>
          <w:p>
            <w:pPr>
              <w:spacing w:line="54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1022" w:type="dxa"/>
            <w:noWrap w:val="0"/>
            <w:vAlign w:val="center"/>
          </w:tcPr>
          <w:p>
            <w:pPr>
              <w:spacing w:line="540" w:lineRule="exact"/>
              <w:jc w:val="center"/>
              <w:rPr>
                <w:rFonts w:hint="eastAsia" w:ascii="仿宋" w:hAnsi="仿宋" w:eastAsia="仿宋" w:cs="仿宋"/>
                <w:sz w:val="32"/>
                <w:szCs w:val="32"/>
              </w:rPr>
            </w:pPr>
            <w:r>
              <w:rPr>
                <w:rFonts w:hint="eastAsia" w:ascii="仿宋" w:hAnsi="仿宋" w:eastAsia="仿宋" w:cs="仿宋"/>
                <w:sz w:val="32"/>
                <w:szCs w:val="32"/>
              </w:rPr>
              <w:t>项</w:t>
            </w:r>
          </w:p>
        </w:tc>
        <w:tc>
          <w:tcPr>
            <w:tcW w:w="1947" w:type="dxa"/>
            <w:noWrap w:val="0"/>
            <w:vAlign w:val="center"/>
          </w:tcPr>
          <w:p>
            <w:pPr>
              <w:spacing w:line="540" w:lineRule="exact"/>
              <w:jc w:val="center"/>
              <w:rPr>
                <w:rFonts w:hint="eastAsia" w:ascii="仿宋" w:hAnsi="仿宋" w:eastAsia="仿宋" w:cs="仿宋"/>
                <w:sz w:val="32"/>
                <w:szCs w:val="32"/>
              </w:rPr>
            </w:pPr>
            <w:r>
              <w:rPr>
                <w:rFonts w:hint="eastAsia" w:ascii="仿宋" w:hAnsi="仿宋" w:eastAsia="仿宋" w:cs="仿宋"/>
                <w:sz w:val="32"/>
                <w:szCs w:val="32"/>
              </w:rPr>
              <w:t>整体预留小微企业</w:t>
            </w:r>
          </w:p>
        </w:tc>
      </w:tr>
    </w:tbl>
    <w:p>
      <w:pPr>
        <w:adjustRightInd w:val="0"/>
        <w:spacing w:line="540" w:lineRule="exact"/>
        <w:jc w:val="left"/>
        <w:textAlignment w:val="baseline"/>
        <w:rPr>
          <w:rFonts w:hint="eastAsia" w:ascii="黑体" w:hAnsi="黑体" w:eastAsia="黑体" w:cs="黑体"/>
          <w:b/>
          <w:sz w:val="32"/>
          <w:szCs w:val="32"/>
        </w:rPr>
      </w:pPr>
      <w:r>
        <w:rPr>
          <w:rFonts w:hint="eastAsia" w:ascii="黑体" w:hAnsi="黑体" w:eastAsia="黑体" w:cs="黑体"/>
          <w:b/>
          <w:sz w:val="32"/>
          <w:szCs w:val="32"/>
        </w:rPr>
        <w:t xml:space="preserve">    二、项目简况</w:t>
      </w:r>
    </w:p>
    <w:p>
      <w:pPr>
        <w:adjustRightInd w:val="0"/>
        <w:spacing w:line="540" w:lineRule="exact"/>
        <w:jc w:val="left"/>
        <w:textAlignment w:val="baseline"/>
        <w:rPr>
          <w:rFonts w:hint="eastAsia" w:ascii="楷体" w:hAnsi="楷体" w:eastAsia="楷体" w:cs="楷体"/>
          <w:bCs/>
          <w:sz w:val="32"/>
          <w:szCs w:val="32"/>
        </w:rPr>
      </w:pPr>
      <w:r>
        <w:rPr>
          <w:rFonts w:hint="eastAsia" w:ascii="楷体" w:hAnsi="楷体" w:eastAsia="楷体" w:cs="楷体"/>
          <w:bCs/>
          <w:sz w:val="32"/>
          <w:szCs w:val="32"/>
        </w:rPr>
        <w:t xml:space="preserve">   （一）项目服务范围</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kern w:val="1"/>
          <w:sz w:val="32"/>
          <w:szCs w:val="32"/>
        </w:rPr>
        <w:t>分局机关水电运行</w:t>
      </w:r>
      <w:r>
        <w:rPr>
          <w:rFonts w:hint="eastAsia" w:ascii="仿宋" w:hAnsi="仿宋" w:eastAsia="仿宋" w:cs="仿宋"/>
          <w:bCs/>
          <w:sz w:val="32"/>
          <w:szCs w:val="32"/>
        </w:rPr>
        <w:t>维护</w:t>
      </w:r>
      <w:r>
        <w:rPr>
          <w:rFonts w:hint="eastAsia" w:ascii="仿宋" w:hAnsi="仿宋" w:eastAsia="仿宋" w:cs="仿宋"/>
          <w:kern w:val="1"/>
          <w:sz w:val="32"/>
          <w:szCs w:val="32"/>
        </w:rPr>
        <w:t>、设备运行维保、保洁、绿化养护、日常综合维修、会议服务、招待所客房服务、果蔬农作物种植、垃圾清运、消防安全等服务。</w:t>
      </w:r>
    </w:p>
    <w:p>
      <w:pPr>
        <w:adjustRightInd w:val="0"/>
        <w:spacing w:line="540" w:lineRule="exact"/>
        <w:jc w:val="left"/>
        <w:textAlignment w:val="baseline"/>
        <w:rPr>
          <w:rFonts w:hint="eastAsia" w:ascii="楷体" w:hAnsi="楷体" w:eastAsia="楷体" w:cs="楷体"/>
          <w:bCs/>
          <w:sz w:val="32"/>
          <w:szCs w:val="32"/>
          <w:lang w:val="en-US" w:eastAsia="zh-CN"/>
        </w:rPr>
      </w:pPr>
      <w:r>
        <w:rPr>
          <w:rFonts w:hint="eastAsia" w:ascii="楷体" w:hAnsi="楷体" w:eastAsia="楷体" w:cs="楷体"/>
          <w:bCs/>
          <w:sz w:val="32"/>
          <w:szCs w:val="32"/>
        </w:rPr>
        <w:t xml:space="preserve">   （二）</w:t>
      </w:r>
      <w:r>
        <w:rPr>
          <w:rFonts w:hint="eastAsia" w:ascii="楷体" w:hAnsi="楷体" w:eastAsia="楷体" w:cs="楷体"/>
          <w:bCs/>
          <w:strike w:val="0"/>
          <w:dstrike w:val="0"/>
          <w:sz w:val="32"/>
          <w:szCs w:val="32"/>
          <w:lang w:val="en-US" w:eastAsia="zh-CN"/>
        </w:rPr>
        <w:t>采购标的</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left"/>
        <w:textAlignment w:val="baseline"/>
        <w:rPr>
          <w:rFonts w:hint="eastAsia" w:ascii="仿宋" w:hAnsi="仿宋" w:eastAsia="仿宋" w:cs="仿宋"/>
          <w:bCs/>
          <w:strike/>
          <w:dstrike w:val="0"/>
          <w:sz w:val="32"/>
          <w:szCs w:val="32"/>
        </w:rPr>
      </w:pPr>
      <w:r>
        <w:rPr>
          <w:rFonts w:hint="eastAsia" w:ascii="仿宋" w:hAnsi="仿宋" w:eastAsia="仿宋" w:cs="仿宋"/>
          <w:bCs/>
          <w:sz w:val="32"/>
          <w:szCs w:val="32"/>
        </w:rPr>
        <w:t>本项目采购标的为北京市监狱管理局清河分局机</w:t>
      </w:r>
      <w:r>
        <w:rPr>
          <w:rFonts w:hint="eastAsia" w:ascii="仿宋" w:hAnsi="仿宋" w:eastAsia="仿宋" w:cs="仿宋"/>
          <w:bCs/>
          <w:sz w:val="32"/>
          <w:szCs w:val="32"/>
          <w:lang w:val="en-US" w:eastAsia="zh-CN"/>
        </w:rPr>
        <w:t>关</w:t>
      </w:r>
      <w:r>
        <w:rPr>
          <w:rFonts w:hint="eastAsia" w:ascii="仿宋" w:hAnsi="仿宋" w:eastAsia="仿宋" w:cs="仿宋"/>
          <w:bCs/>
          <w:sz w:val="32"/>
          <w:szCs w:val="32"/>
        </w:rPr>
        <w:t>2026-2027年度全流程物业服务，服务范围覆盖分局机关水电运行维护、设备运行维保、保洁、绿化养护、日常综合维修、会议服务、招待所客房服务、果蔬农作物种植、垃圾清运、消防安全等全品类服务，服务面积包含占地面积211410平方米、建筑面积18685平方米、硬化面积32373平方米、绿化面积160352平方米，核心服务目标为保障分局机关日常办公秩序，提供优质、高效、合规的物业管理服务，符合政府采购物业服务相关标准及分局机关专属管理要求。</w:t>
      </w:r>
    </w:p>
    <w:p>
      <w:pPr>
        <w:adjustRightInd w:val="0"/>
        <w:spacing w:line="540" w:lineRule="exact"/>
        <w:jc w:val="left"/>
        <w:textAlignment w:val="baseline"/>
        <w:rPr>
          <w:rFonts w:ascii="楷体" w:hAnsi="楷体" w:eastAsia="楷体" w:cs="楷体"/>
          <w:bCs/>
          <w:sz w:val="32"/>
          <w:szCs w:val="32"/>
        </w:rPr>
      </w:pPr>
      <w:r>
        <w:rPr>
          <w:rFonts w:hint="eastAsia" w:ascii="楷体" w:hAnsi="楷体" w:eastAsia="楷体" w:cs="楷体"/>
          <w:bCs/>
          <w:sz w:val="32"/>
          <w:szCs w:val="32"/>
        </w:rPr>
        <w:t xml:space="preserve">   （三）投标单位的须知</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bCs/>
          <w:sz w:val="32"/>
          <w:szCs w:val="32"/>
        </w:rPr>
        <w:t>1.中标人须遵守国家法律法规，遵守清河分局机关相关管理制度和要求，服从清河分局机关统一管理，无条件接受采购人对工作质量、工作效果等方面的监督、检查和考核。</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bCs/>
          <w:sz w:val="32"/>
          <w:szCs w:val="32"/>
        </w:rPr>
        <w:t>2.物业服务工作由中标人负责，不得外包、转让。</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bCs/>
          <w:sz w:val="32"/>
          <w:szCs w:val="32"/>
        </w:rPr>
        <w:t>3.中标人承担经营场所范围内的独立法律责任。</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bCs/>
          <w:sz w:val="32"/>
          <w:szCs w:val="32"/>
        </w:rPr>
        <w:t>4.中标人自主经营、自负盈亏，所有管理人员、各工作人员由中标人自行招聘和管理，伙食、各项待遇、保险等由中标人自行安排，经费自理；工作人员体检、伤残疾病等费用均由中标人自理。</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bCs/>
          <w:sz w:val="32"/>
          <w:szCs w:val="32"/>
        </w:rPr>
        <w:t>5.中标人的业务骨干、关键岗位人员更换需经采购人同意。</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rPr>
        <w:t>6.</w:t>
      </w:r>
      <w:r>
        <w:rPr>
          <w:rFonts w:hint="eastAsia" w:ascii="仿宋" w:hAnsi="仿宋" w:eastAsia="仿宋" w:cs="仿宋"/>
          <w:bCs/>
          <w:sz w:val="32"/>
          <w:szCs w:val="32"/>
          <w:lang w:eastAsia="zh-CN"/>
        </w:rPr>
        <w:t>以下费用包含在投标报价中</w:t>
      </w:r>
      <w:r>
        <w:rPr>
          <w:rFonts w:hint="eastAsia" w:ascii="仿宋" w:hAnsi="仿宋" w:eastAsia="仿宋" w:cs="仿宋"/>
          <w:bCs/>
          <w:sz w:val="32"/>
          <w:szCs w:val="32"/>
        </w:rPr>
        <w:t>：负责项目内使用的办公场所的水、电费用支付；自行配备用于项目管理服务的办公设备、办公用品。负责为指定办公室、会议室、招待所等地方提供便携饮用水；负责提供绿化、果蔬管理中所需农药、化肥、机械、防治病虫害及防寒措施所需物品等；负责动物养殖所需饲料、防疫措施及疾病治疗等；负责保洁、日常消杀所需工具等；负责院内、建筑物内公共区域灭蚊、蝇、虫等所需药品、物品等；负责</w:t>
      </w:r>
      <w:r>
        <w:rPr>
          <w:rFonts w:hint="eastAsia" w:ascii="仿宋" w:hAnsi="仿宋" w:eastAsia="仿宋" w:cs="仿宋"/>
          <w:sz w:val="32"/>
          <w:szCs w:val="32"/>
        </w:rPr>
        <w:t>重要节假日前公共区域氛围营造、布置</w:t>
      </w:r>
      <w:r>
        <w:rPr>
          <w:rFonts w:hint="eastAsia" w:ascii="仿宋" w:hAnsi="仿宋" w:eastAsia="仿宋" w:cs="仿宋"/>
          <w:bCs/>
          <w:sz w:val="32"/>
          <w:szCs w:val="32"/>
        </w:rPr>
        <w:t>；负责垃圾（含落叶、掉落枯枝、花草树木修剪下来的枝条、草屑等）分类与清运；负责化粪池</w:t>
      </w:r>
      <w:r>
        <w:rPr>
          <w:rFonts w:hint="eastAsia" w:ascii="仿宋" w:hAnsi="仿宋" w:eastAsia="仿宋" w:cs="仿宋"/>
          <w:bCs/>
          <w:sz w:val="32"/>
          <w:szCs w:val="32"/>
          <w:highlight w:val="none"/>
        </w:rPr>
        <w:t>等清掏；负责员工的消防培训、消防演练；负责本项目内消防设备设施的日常管理、定期检查维护、年检；负责项目内建筑物避雷检测；负责每年项目内消防电气设备检测；负责配电室、水泵房、纯净水车间等重要设施内放置的防鼠虫害设备。经甲乙双方协商由中标方负担的其他费用。</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7.采购人为中标人无偿提供物业服务办公场所。</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四</w:t>
      </w:r>
      <w:r>
        <w:rPr>
          <w:rFonts w:hint="eastAsia" w:ascii="仿宋" w:hAnsi="仿宋" w:eastAsia="仿宋" w:cs="仿宋"/>
          <w:bCs/>
          <w:sz w:val="32"/>
          <w:szCs w:val="32"/>
          <w:highlight w:val="none"/>
        </w:rPr>
        <w:t>）商务要求</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1.服务期限：1 年，自 2026 年 </w:t>
      </w:r>
      <w:r>
        <w:rPr>
          <w:rFonts w:hint="eastAsia" w:ascii="仿宋" w:hAnsi="仿宋" w:eastAsia="仿宋" w:cs="仿宋"/>
          <w:bCs/>
          <w:sz w:val="32"/>
          <w:szCs w:val="32"/>
          <w:highlight w:val="none"/>
          <w:lang w:val="en-US" w:eastAsia="zh-CN"/>
        </w:rPr>
        <w:t>6</w:t>
      </w:r>
      <w:r>
        <w:rPr>
          <w:rFonts w:hint="eastAsia" w:ascii="仿宋" w:hAnsi="仿宋" w:eastAsia="仿宋" w:cs="仿宋"/>
          <w:bCs/>
          <w:sz w:val="32"/>
          <w:szCs w:val="32"/>
          <w:highlight w:val="none"/>
        </w:rPr>
        <w:t xml:space="preserve">月 1 日起至 2027 年 </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月 3</w:t>
      </w: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日，服务期限内不得擅自中断服务，如需提前终止服务，需提前 30 日向采购人提交书面申请并经采购人书面同意，同时承担相应违约责任。</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2.服务地点：北京市监狱管理局清河分局机关（天津市宁河区清河农场），需在采购人指定区域内开展物业服务工作，不得擅自扩大服务范围或变更服务地点。</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3.人员要求：所有服务人员需按采购需求要求配备，关键岗位人员（项目经理、会服主管、绿化技术主管、维修工程主管等）需经采购人审核备案，更换关键岗位人员需提前 15 日向采购人提交书面申请及新人员资质证明，经采购人同意后方可更换。</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4.付款方式：中标人开具合法有效的增值税普通发票后，采购人于当月下旬或次月上旬按月转账支付，付款账户为中标人在投标文件中指定的账户，不得随意变更。</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5.履约要求：中标人需在合同签订后 7 个工作日内制定详细的物业服务实施方案并提交采购人审核，审核通过后正式实施；每月 5 日前向采购人提交上月物业服务工作报表，包含服务完成情况、人员考勤、设备维保记录、考核整改情况等。</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6.分包要求：按本招标文件第二章投标人须知资料表约定执行，允许分包的垃圾清运、避雷检测工作，中标人需将分包单位资质、分包协议提交采购人备案，采购人有权对分包单位服务质量进行监督检查。</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7.分包管理要求：（1）本项目仅允许垃圾清运、避雷检测工作分包，投标人不得将其他服务内容分包给第三方；（2）分包单位需满足本招标文件第二章投标人须知资料表 25.5 条款约定的资质要求，投标人对分包单位的服务质量、安全管理等承担连带责任；（3）投标人应在投标文件中提交与分包单位签订的《分包意向协议》及分包单位资质证书复印件，未提交或提交材料不符合要求的，投标无效；（4）服务期间如需更换分包单位，投标人需提前 15 日向采购人提交书面申请及新分包单位资质证明，经采购人书面同意后方可更换，更换后分包单位仍需满足本项目分包资质要求。</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五</w:t>
      </w:r>
      <w:r>
        <w:rPr>
          <w:rFonts w:hint="eastAsia" w:ascii="仿宋" w:hAnsi="仿宋" w:eastAsia="仿宋" w:cs="仿宋"/>
          <w:bCs/>
          <w:sz w:val="32"/>
          <w:szCs w:val="32"/>
          <w:highlight w:val="none"/>
        </w:rPr>
        <w:t>）技术要求</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1.基础服务技术标准：所有物业服务工作需符合《物业管理服务质量标准》（GB/T 20647.9）、《城市园林绿化养护管理标准》（CJJ/T 287）、《建筑消防设施检测技术规程》（GA 503）等国家及行业现行有效标准。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2.设备运维技术要求：水电、给排水、消防、电梯等设备设施运维需建立电子化管理档案，记录设备基本信息、维保周期、维保记录、故障处理情况等，设备故障响应时间不超过 10 分钟，一般性故障排除不过夜，重大故障需 24 小时内制定解决方案并向采购人汇报。</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3.保洁消毒技术要求：保洁耗材需使用符合国家环保标准的产品，公共区域消毒需遵循《公共场所消毒技术规范》（WS/T 396），疫情防控期间按属地及采购人要求增加消毒频次，消毒记录需详细、可追溯。</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4.绿化养护技术要求：绿植、果蔬、农作物养护需根据季节、品种制定专项养护方案，病虫害防治优先采用生物防治、物理防治方式，农药使用需符合《农药合理使用准则》（GB/T 8321），禁止使用高毒、高残留农药。</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5.垃圾清运技术要求：垃圾分类需符合《北京市生活垃圾管理条例》及采购人要求，建立垃圾分类清运台账，记录垃圾种类、清运量、清运时间、处置单位等信息，清运车辆需具备密闭运输能力，避免泄漏、遗撒。</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6.避雷检测技术要求：避雷检测需符合《建筑物防雷检测技术规范》（GB/T 21431），年度检测需由具备相应资质的单位完成并出具 CMA 检测报告，日常巡检需每月至少 1 次，发现问题及时整改并向采购人汇报。</w:t>
      </w:r>
    </w:p>
    <w:p>
      <w:pPr>
        <w:adjustRightInd w:val="0"/>
        <w:spacing w:line="540" w:lineRule="exact"/>
        <w:jc w:val="left"/>
        <w:textAlignment w:val="baseline"/>
        <w:rPr>
          <w:rFonts w:hint="eastAsia" w:ascii="黑体" w:hAnsi="黑体" w:eastAsia="黑体" w:cs="黑体"/>
          <w:b/>
          <w:sz w:val="32"/>
          <w:szCs w:val="32"/>
          <w:highlight w:val="none"/>
        </w:rPr>
      </w:pPr>
      <w:r>
        <w:rPr>
          <w:rFonts w:hint="eastAsia" w:ascii="黑体" w:hAnsi="黑体" w:eastAsia="黑体" w:cs="黑体"/>
          <w:b/>
          <w:sz w:val="32"/>
          <w:szCs w:val="32"/>
          <w:highlight w:val="none"/>
        </w:rPr>
        <w:t xml:space="preserve">    三、物业服务内容、要求及标准</w:t>
      </w:r>
    </w:p>
    <w:p>
      <w:pPr>
        <w:adjustRightInd w:val="0"/>
        <w:spacing w:line="540" w:lineRule="exact"/>
        <w:ind w:firstLine="640" w:firstLineChars="200"/>
        <w:jc w:val="left"/>
        <w:textAlignment w:val="baseline"/>
        <w:rPr>
          <w:rFonts w:hint="eastAsia" w:ascii="楷体" w:hAnsi="楷体" w:eastAsia="楷体" w:cs="楷体"/>
          <w:bCs/>
          <w:sz w:val="32"/>
          <w:szCs w:val="32"/>
          <w:highlight w:val="none"/>
        </w:rPr>
      </w:pPr>
      <w:r>
        <w:rPr>
          <w:rFonts w:hint="eastAsia" w:ascii="楷体" w:hAnsi="楷体" w:eastAsia="楷体" w:cs="楷体"/>
          <w:bCs/>
          <w:sz w:val="32"/>
          <w:szCs w:val="32"/>
          <w:highlight w:val="none"/>
        </w:rPr>
        <w:t>（一）指导思想</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以勤俭节约、提供优质服务为宗旨，以规范管理为手段，以实现人、财、物的最佳结合为目标，按照物业管理的自身规律，采取有效的形式，实施全方位统一的管理，健全制度，规范动作，实现最佳的管理目标，努力创造一个文明、安全、高效、舒适、和谐的新环境。</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2.建立健全各项管理制度，制定和实施物业管理服务计划和岗位培训计划，建立良好的工作秩序，确保服务质量。</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3.细化落实措施和考核方法， 建立应对各种公共突发事件的应急处置预案，归纳整理保存好相关管理档案资料。</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(1)制定应急预案的原则、级别和领导体系</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(2)制定火警火灾突发事件处理预案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(3)制定停电处理预案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(4)制定紧急疫情处理预案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(5)制定地震处理预案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(6)制定防汛处理预案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(7)制定中毒突发事件处理预案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(8)制定跑水突发事件处理预案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(9)制定扫雪铲冰突发事件处理预案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(10)制定停水事故突发事件处理预案</w:t>
      </w:r>
    </w:p>
    <w:p>
      <w:pPr>
        <w:adjustRightInd w:val="0"/>
        <w:spacing w:line="540" w:lineRule="exact"/>
        <w:ind w:firstLine="640" w:firstLineChars="200"/>
        <w:jc w:val="left"/>
        <w:textAlignment w:val="baseline"/>
        <w:rPr>
          <w:rFonts w:hint="eastAsia" w:ascii="楷体" w:hAnsi="楷体" w:eastAsia="楷体" w:cs="楷体"/>
          <w:bCs/>
          <w:sz w:val="32"/>
          <w:szCs w:val="32"/>
          <w:highlight w:val="none"/>
        </w:rPr>
      </w:pPr>
      <w:r>
        <w:rPr>
          <w:rFonts w:hint="eastAsia" w:ascii="楷体" w:hAnsi="楷体" w:eastAsia="楷体" w:cs="楷体"/>
          <w:bCs/>
          <w:sz w:val="32"/>
          <w:szCs w:val="32"/>
          <w:highlight w:val="none"/>
        </w:rPr>
        <w:t>（二）编制本项目的物业管理方案，并制定组建物业管理服务机构</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1.需配备1名项目经理，年龄55周岁（含）以下，3年（含）以上类似物业项目经理经验，组织实施物业管理服务有效的工作计划。</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2.物业人员须彬彬有礼，听从命令，服从指挥。服务时统一着装上岗,工作服由物业公司提供，有明显物业公司标识，衣着得体、整齐、干净，佩戴胸牌。</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3.会议服务</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人员要求：</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会服主管：1人，年龄40周岁（含）以下，大专及以上学历，3年（含）及以上类似物业项目会服主管工作经验。会服普通员工：不少于4人，年龄40周岁（含）以下，2年（含）及以上类似物业项目会服工作经验。（业务能力强的人员经采购人同意后可适当放宽年龄限制），女性，身体健康，无不良嗜好。录用前，必须经过背调，履历无不良记录，无犯罪记录。上岗前，必须经过专业培训，具有保密和服务意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工作要求和标准：根据主办单位和主办人的需求，按会议要求安排会场，由专人负责做好会议各项服务工作。会前，确保会议室空气清新、无灰尘、无异味、无蚊蝇、无杂物，窗明几净，桌椅、水杯摆放整齐有序，在会前或会中按要求及时提供热开水或瓶装水。会中休息时，整理会议室，以保持会议室的卫生整洁、空气清新。会后，整理、清扫会场，检查会议室有无遗忘的物品，如发现有遗忘物品，应立即送还本人或交有关部门。会议室用茶杯等每次会后做消毒处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4.卫生保洁</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卫生保洁指保持公共区域内的环境清洁而进行的日常管理工作。有健全的保洁制度，清洁卫生实行责任制，有明确的分工和责任范围。保洁耗材必须使用环保物品。发生突发公共卫生事件时，迅速组织人员对公共设备设施及环境进行通风、清洗和消毒，维持正常的工作生活秩序。</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人员要求：(1)指定办公室、会客室、备勤宿舍、会议室、贵宾室、招待所卫生保洁的服务人员：年龄40周岁（含）以下，女性，身体健康，无不良嗜好。录用前，必须经过背调，履历无不良记录，无犯罪记录。上岗前，必须经过专业培训，具有保密和服务意识。(2)公共区域保洁人员：年龄，男性55周岁（含）以下，女性50周岁（含）以下，身体健康，无不良嗜好。录用前，必须经过背调，履历无不良记录，无犯罪记录。</w:t>
      </w:r>
    </w:p>
    <w:p>
      <w:pPr>
        <w:adjustRightInd w:val="0"/>
        <w:spacing w:line="540" w:lineRule="exact"/>
        <w:ind w:firstLine="640" w:firstLineChars="200"/>
        <w:jc w:val="left"/>
        <w:textAlignment w:val="baseline"/>
        <w:rPr>
          <w:rFonts w:hint="eastAsia" w:ascii="仿宋" w:hAnsi="仿宋" w:eastAsia="仿宋" w:cs="仿宋"/>
          <w:sz w:val="32"/>
          <w:szCs w:val="32"/>
          <w:highlight w:val="none"/>
        </w:rPr>
      </w:pPr>
      <w:r>
        <w:rPr>
          <w:rFonts w:hint="eastAsia" w:ascii="仿宋" w:hAnsi="仿宋" w:eastAsia="仿宋" w:cs="仿宋"/>
          <w:bCs/>
          <w:sz w:val="32"/>
          <w:szCs w:val="32"/>
          <w:highlight w:val="none"/>
        </w:rPr>
        <w:t>工作要求和标准：指定办公室、会客室、备勤宿舍、会议室、贵宾室、</w:t>
      </w:r>
      <w:r>
        <w:rPr>
          <w:rFonts w:hint="eastAsia" w:ascii="仿宋" w:hAnsi="仿宋" w:eastAsia="仿宋" w:cs="仿宋"/>
          <w:sz w:val="32"/>
          <w:szCs w:val="32"/>
          <w:highlight w:val="none"/>
        </w:rPr>
        <w:t>招待所</w:t>
      </w:r>
      <w:r>
        <w:rPr>
          <w:rFonts w:hint="eastAsia" w:ascii="仿宋" w:hAnsi="仿宋" w:eastAsia="仿宋" w:cs="仿宋"/>
          <w:bCs/>
          <w:sz w:val="32"/>
          <w:szCs w:val="32"/>
          <w:highlight w:val="none"/>
        </w:rPr>
        <w:t>按要求开展日常保洁工作，确保空气清新、无灰尘、无异味、无蚊蝇、无杂物，确保窗明几净，桌椅等各类物品摆放整齐有序。招待所需</w:t>
      </w:r>
      <w:r>
        <w:rPr>
          <w:rFonts w:hint="eastAsia" w:ascii="仿宋" w:hAnsi="仿宋" w:eastAsia="仿宋" w:cs="仿宋"/>
          <w:sz w:val="32"/>
          <w:szCs w:val="32"/>
          <w:highlight w:val="none"/>
        </w:rPr>
        <w:t>及时更换、清洗床单、被罩、枕套等床上用品，及时更换毛巾、洗漱等必需品。需安排专人负责人员修剪护理、布草和纺织物清洗等工作。</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建筑物内公共区域保洁：设立每日多次巡视保洁制度，保持地面、墙面、标牌等相关区域的设施干净整洁、无尘、无污渍。</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院内公共区域保洁：设立每日多次巡视保洁制度，确保项目内公共环境卫生干净整洁，日常道路、绿地等无枯枝烂叶、瓜皮纸屑、烟头等杂物垃圾。秋冬季落叶及时清扫无堆积，雨雪天气道路无积水、无积雪，符合市扫雪办门前三包要求。确保垃圾桶及时清理，桶内垃圾不得超过容积的1/3。确保垃圾站经常性消毒，无蚊蝇滋生。如项目范围内有施工，配合施工人员搞好施工场地卫生。</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5.绿化养护管理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人员要求：(1)需配备1名绿化技术主管：年龄55周岁（含）及以下，具有“有害生物防制员”证书，5年（含）及以上类似物业项目工作经验，身体健康，无不良嗜好。录用前，必须经过背调，履历无不良记录，无犯罪记录。(2)需配备6名（含）以上绿化工：不得少于6人，男性，年龄55周岁（含）以下，女性，50周岁（含）以下，3年（含）及以上绿化工作经验，身体健康，无不良嗜好。录用前，必须经过背调，履历无不良记录，无犯罪记录。</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工作要求和标准：确保花草树木、果树、菜类、农作物按季节进行浇水、施肥、除草、修剪、病虫害防治、防寒等，保证生长正常，无病虫害、无杂草，无枯枝败叶。确保草坪、乔木、绿篱等修剪整齐有型，保持观赏效果。冬季做好绿植保护各项措施，保证绿植生长正常。确保绿地设施及硬质景观完好无损，绿地内土壤疏松通透，目视应无明显杂草。确保绿地内无垃圾，乔木无树挂，绿地无破坏、践踏及随意占用现象。在果树、蔬菜、农作物成熟时，需及时将收获果蔬交予采购人。室外绿地、花坛内各种植物、果树等因养护不当造成死亡的，中标方应及时进行补种、恢复。</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6.日常维修和管理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人员要求：(1)需配备维修人员工程主管1人，男性，年龄55周岁（含）以下，5年（含）及以上工程主管工作经验，持有高压电工操作或低压电工操作证，身体健康，无不良嗜好。录用前，必须经过背调，履历无不良记录，无犯罪记录。（2）需配备主要维修人员不少于5人，男性，55周岁（含）以下，持有高压电工操作证或低压电工操作证，身体健康，无不良嗜好。需配备1名具备​特种设备安全管理人员证(A)</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电梯安全管理员证</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的维修人员。录用前，必须经过背调，履历无不良记录，无犯罪记录。</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工作要求和标准：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房屋建筑物日常管理，是指为保持分局机关院内各建筑物原有完好等级和正常使用，进行日常养护，及时修复小损小坏等房屋维护管理工作。定期做好楼内各种共用设施和附属建筑物、构筑物的巡查工作，发现问题及时报告采购人并进行处置。</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给排水设备运行维护，是指为保证分局机关院内各建筑物、公共区域给排水设备、上下水管线、阀门、暖气管道等的正常运行使用，所进行的日常养护、维修及室外管道系统的维护和清理。水泵房每天由值班人员打扫，确保泵房地面和设备外表的清洁。负责各种供水线、水卫设备和各种水泵、排污泵的使用管理、保养、维修，每日进行巡查，建立管理档案，确保各类给排水设施设备的正常使用。确保上下水、消防用水的正常使用，消防管道内水压保持在标准范围内，各种阀门开关灵活。定期检查院内各建筑物上下水管线的疏通情况，不发生上下水跑、冒、滴、漏现象。负责污水、雨水管道的疏通，化粪池、积水坑定期开展清掏、清运。负责各种水箱、水罐的清洗和消毒。负责高位自来水水箱、生活热水水箱定期消毒。设备出现故障时,维修人员应在10分钟内到达现场,维修合格率达到100％,一般性故障排除不过夜。</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供电系统运行管理，是指为保证分局机关院内各供电系统正常运行，对低压电器设备、电线电缆、电气照明装置等设备进行日常管理和维修养护。负责制定各类供电设备管理的规章制度，严格执行用电安全规范，并要求值班人员熟练掌握，确保用电安全。负责项目内配电室24小时双人值班，做好交接班和各项值班工作记录，值班人员需具有电工专业资质；负责配电室内卫生整洁，通风、照明设施正常使用。负责倒闸操作，并按要求做好记录。负责对供电设备（含各建筑物内配电箱、柜等）开展定期巡视、维护，确保供电设备正常运行，在巡视过程中发现异常和故障隐患，要进行专业处置，并做好记录，并将问题情况上报采购人。负责办公楼内外使用的照明、指示灯具线路、开关、插座等完好正常使用。负责消防系统设备相关电器、电源的检测，保证紧急情况下设备的正常使用。设备出现故障时,维修人员10分钟内到达现场,设备维修合格率达到100％,一般性维修不过夜。</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(4)专业设备的管理。负责对空调、通风系统、电开水器、热水器等进行维修、保养，并建立维修、保养档案，保证各类设备安全运行和正常使用。空调、通风系统每年开展一次滤网清洗（普通清洗）。电开水器按要求及时更换滤芯。热水器每年清理一次水垢。出现运行故障后，维修人员在10分钟内到达现场维修，一般性维修不过夜，如需外委维修，需及时上报采购人，维护费用由采购人承担，中标人配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(5)电梯管理。负责配备专业的电梯安全员，建立专档，保证电梯安全运行和正常使用。</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(6)避雷系统管理。负责对项目内各建筑物避雷系统定期进行检查，保证避雷设施完好、有效、安全。负责按国家有关规定对项目内各建筑物避雷系统开展年度检查，并出具年检报告。</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(7)安全管理。负责做好危险物品、有限空间作业、高空作业的管理，消除安全隐患，确保人员、财产安全。负责开展节假日前项目内各区域消防安全巡检，发现问题及时整改。每年由具有资质的公司开展一次消防电气设备检测，并出具年检报告。每年由具有资质的公司对灭火器进行一次年检。</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(8)严格遵守各项工作要求，协助完成采购人临时交办的工作任务。</w:t>
      </w:r>
    </w:p>
    <w:p>
      <w:pPr>
        <w:adjustRightInd w:val="0"/>
        <w:spacing w:line="540" w:lineRule="exact"/>
        <w:jc w:val="left"/>
        <w:textAlignment w:val="baseline"/>
        <w:rPr>
          <w:rFonts w:hint="eastAsia" w:ascii="黑体" w:hAnsi="黑体" w:eastAsia="黑体" w:cs="黑体"/>
          <w:b/>
          <w:sz w:val="32"/>
          <w:szCs w:val="32"/>
          <w:highlight w:val="none"/>
        </w:rPr>
      </w:pPr>
      <w:r>
        <w:rPr>
          <w:rFonts w:hint="eastAsia" w:ascii="黑体" w:hAnsi="黑体" w:eastAsia="黑体" w:cs="黑体"/>
          <w:b/>
          <w:sz w:val="32"/>
          <w:szCs w:val="32"/>
          <w:highlight w:val="none"/>
        </w:rPr>
        <w:t xml:space="preserve">    四、售后服务及培训要求</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各专业相关人员持有效证件上岗，并配合采购人对突发事件、公共场所卫生及法律知识、防疫、消防、安全生产等相关知识内容的培训。</w:t>
      </w:r>
    </w:p>
    <w:p>
      <w:pPr>
        <w:adjustRightInd w:val="0"/>
        <w:spacing w:line="540" w:lineRule="exact"/>
        <w:jc w:val="left"/>
        <w:textAlignment w:val="baseline"/>
        <w:rPr>
          <w:rFonts w:hint="eastAsia" w:ascii="黑体" w:hAnsi="黑体" w:eastAsia="黑体" w:cs="黑体"/>
          <w:b/>
          <w:sz w:val="32"/>
          <w:szCs w:val="32"/>
          <w:highlight w:val="none"/>
        </w:rPr>
      </w:pPr>
      <w:r>
        <w:rPr>
          <w:rFonts w:hint="eastAsia" w:ascii="黑体" w:hAnsi="黑体" w:eastAsia="黑体" w:cs="黑体"/>
          <w:b/>
          <w:sz w:val="32"/>
          <w:szCs w:val="32"/>
          <w:highlight w:val="none"/>
        </w:rPr>
        <w:t xml:space="preserve">    五、服务期限及地点</w:t>
      </w:r>
    </w:p>
    <w:p>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服务期限：1 年，自 2026</w:t>
      </w:r>
      <w:bookmarkStart w:id="0" w:name="_GoBack"/>
      <w:bookmarkEnd w:id="0"/>
      <w:r>
        <w:rPr>
          <w:rFonts w:hint="eastAsia" w:ascii="仿宋" w:hAnsi="仿宋" w:eastAsia="仿宋" w:cs="仿宋"/>
          <w:bCs/>
          <w:sz w:val="32"/>
          <w:szCs w:val="32"/>
          <w:highlight w:val="none"/>
        </w:rPr>
        <w:t xml:space="preserve"> 年 </w:t>
      </w:r>
      <w:r>
        <w:rPr>
          <w:rFonts w:hint="eastAsia" w:ascii="仿宋" w:hAnsi="仿宋" w:eastAsia="仿宋" w:cs="仿宋"/>
          <w:bCs/>
          <w:sz w:val="32"/>
          <w:szCs w:val="32"/>
          <w:highlight w:val="none"/>
          <w:lang w:val="en-US" w:eastAsia="zh-CN"/>
        </w:rPr>
        <w:t>6</w:t>
      </w:r>
      <w:r>
        <w:rPr>
          <w:rFonts w:hint="eastAsia" w:ascii="仿宋" w:hAnsi="仿宋" w:eastAsia="仿宋" w:cs="仿宋"/>
          <w:bCs/>
          <w:sz w:val="32"/>
          <w:szCs w:val="32"/>
          <w:highlight w:val="none"/>
        </w:rPr>
        <w:t xml:space="preserve">月 1 日起至 2027 年 </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月 3</w:t>
      </w: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日</w:t>
      </w:r>
    </w:p>
    <w:p>
      <w:pPr>
        <w:adjustRightInd w:val="0"/>
        <w:spacing w:line="46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服务地点：北京市监狱管理局清河分局机关（天津市宁河区清河农场）。</w:t>
      </w:r>
    </w:p>
    <w:p>
      <w:pPr>
        <w:adjustRightInd w:val="0"/>
        <w:spacing w:line="460" w:lineRule="exact"/>
        <w:jc w:val="left"/>
        <w:textAlignment w:val="baseline"/>
        <w:rPr>
          <w:rFonts w:hint="eastAsia" w:ascii="仿宋" w:hAnsi="仿宋" w:eastAsia="仿宋" w:cs="仿宋"/>
          <w:bCs/>
          <w:sz w:val="32"/>
          <w:szCs w:val="32"/>
          <w:highlight w:val="none"/>
        </w:rPr>
      </w:pPr>
      <w:r>
        <w:rPr>
          <w:rFonts w:hint="eastAsia" w:ascii="黑体" w:hAnsi="黑体" w:eastAsia="黑体" w:cs="黑体"/>
          <w:b/>
          <w:sz w:val="32"/>
          <w:szCs w:val="32"/>
          <w:highlight w:val="none"/>
        </w:rPr>
        <w:t xml:space="preserve">    六、验收服务要求</w:t>
      </w:r>
    </w:p>
    <w:p>
      <w:pPr>
        <w:spacing w:line="540" w:lineRule="exact"/>
        <w:ind w:firstLine="640" w:firstLineChars="200"/>
        <w:jc w:val="left"/>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（一）</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应提供优质服务，保证服务质量，且不能少于合同规定的范围和种类。采购人将定期或不定期的对</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提供的服务实行动态跟踪和检查。</w:t>
      </w:r>
    </w:p>
    <w:p>
      <w:pPr>
        <w:spacing w:line="540" w:lineRule="exact"/>
        <w:ind w:firstLine="640" w:firstLineChars="200"/>
        <w:jc w:val="left"/>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（二）</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在收到采购人或使用单位关于服务质量问题的书面通知后三天内，应迅速查处并做出整改答复，如</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未在三天内答复且没有弥补相应缺陷的，采购人或使用单位可根据情况自行采取必要的补救措施，但风险及费用由</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承担。</w:t>
      </w:r>
    </w:p>
    <w:p>
      <w:pPr>
        <w:spacing w:line="54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color w:val="000000"/>
          <w:sz w:val="32"/>
          <w:szCs w:val="32"/>
          <w:highlight w:val="none"/>
        </w:rPr>
        <w:t>（三）</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每月及日常接受采购人的检查和考核，采购人每月按照《物业管理服务考核评价办法》（附件）对</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的服务进行考评，考评结果采购人以书面形式通知</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，如有考核扣款则扣减相应数额,每扣1分扣减100元，</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应积极整</w:t>
      </w:r>
      <w:r>
        <w:rPr>
          <w:rFonts w:hint="eastAsia" w:ascii="仿宋" w:hAnsi="仿宋" w:eastAsia="仿宋" w:cs="仿宋"/>
          <w:bCs/>
          <w:sz w:val="32"/>
          <w:szCs w:val="32"/>
          <w:highlight w:val="none"/>
        </w:rPr>
        <w:t>改，并按考核标准接受处理。</w:t>
      </w:r>
    </w:p>
    <w:p>
      <w:pPr>
        <w:adjustRightInd w:val="0"/>
        <w:spacing w:line="478" w:lineRule="exact"/>
        <w:jc w:val="left"/>
        <w:textAlignment w:val="baseline"/>
        <w:rPr>
          <w:rFonts w:hint="eastAsia" w:ascii="黑体" w:hAnsi="黑体" w:eastAsia="黑体" w:cs="黑体"/>
          <w:b/>
          <w:sz w:val="32"/>
          <w:szCs w:val="32"/>
          <w:highlight w:val="none"/>
        </w:rPr>
      </w:pPr>
      <w:r>
        <w:rPr>
          <w:rFonts w:hint="eastAsia" w:ascii="黑体" w:hAnsi="黑体" w:eastAsia="黑体" w:cs="黑体"/>
          <w:b/>
          <w:sz w:val="32"/>
          <w:szCs w:val="32"/>
          <w:highlight w:val="none"/>
        </w:rPr>
        <w:t xml:space="preserve">    七、付款方式</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中标人开具合法有效的增值税普通发票后，采购人于当月下旬或次月上旬按月转账支付。</w:t>
      </w:r>
    </w:p>
    <w:p>
      <w:pPr>
        <w:pStyle w:val="2"/>
        <w:numPr>
          <w:ilvl w:val="0"/>
          <w:numId w:val="0"/>
        </w:numPr>
        <w:ind w:left="642"/>
        <w:jc w:val="left"/>
        <w:rPr>
          <w:rFonts w:hint="eastAsia" w:ascii="黑体" w:hAnsi="黑体" w:eastAsia="黑体" w:cs="黑体"/>
          <w:b/>
          <w:kern w:val="2"/>
          <w:sz w:val="32"/>
          <w:szCs w:val="32"/>
          <w:highlight w:val="none"/>
          <w:lang w:val="en-US" w:eastAsia="zh-CN" w:bidi="ar-SA"/>
        </w:rPr>
      </w:pPr>
      <w:r>
        <w:rPr>
          <w:rFonts w:hint="eastAsia" w:ascii="黑体" w:hAnsi="黑体" w:eastAsia="黑体" w:cs="黑体"/>
          <w:b/>
          <w:kern w:val="2"/>
          <w:sz w:val="32"/>
          <w:szCs w:val="32"/>
          <w:highlight w:val="none"/>
          <w:lang w:val="en-US" w:eastAsia="zh-CN" w:bidi="ar-SA"/>
        </w:rPr>
        <w:t>八、其他要求</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1、</w:t>
      </w:r>
      <w:r>
        <w:rPr>
          <w:rFonts w:hint="eastAsia" w:ascii="仿宋" w:hAnsi="仿宋" w:eastAsia="仿宋" w:cs="仿宋"/>
          <w:bCs/>
          <w:kern w:val="2"/>
          <w:sz w:val="32"/>
          <w:szCs w:val="32"/>
          <w:highlight w:val="none"/>
          <w:lang w:bidi="ar"/>
        </w:rPr>
        <w:t>为深入贯彻落实中共中央办公厅、国务院办公厅《关于健全社会信用体系的意见》，进一步推动</w:t>
      </w:r>
      <w:r>
        <w:rPr>
          <w:rFonts w:hint="eastAsia" w:ascii="仿宋" w:hAnsi="仿宋" w:eastAsia="仿宋" w:cs="仿宋"/>
          <w:bCs/>
          <w:color w:val="auto"/>
          <w:sz w:val="32"/>
          <w:szCs w:val="32"/>
          <w:highlight w:val="none"/>
          <w:shd w:val="clear" w:color="auto" w:fill="auto"/>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 w:hAnsi="仿宋" w:eastAsia="仿宋" w:cs="仿宋"/>
          <w:bCs/>
          <w:sz w:val="32"/>
          <w:szCs w:val="32"/>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1.在招标（交易发起）文件规定的投标（交易响应）截止日起的投标（交易响应）有效期内撤销其投标（交易响应）的；</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2.因供应商自身原因或其他客观情况造成合同履约超期，或经过采购人催告后仍故意或拒绝履行合同义务的；</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3.因供应商其自身严重或持续的履约缺陷，导致合同被提前终止、索赔或其他类似制裁的；</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4.存在拖欠工资的；</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5.存在《京津冀政府采购负面行为清单》（冀财采〔2024〕18号）规定的供应商负面行为的：</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（1）具有关联或存在利益冲突的供应商违规参加同一政府采购项目；</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（2）供应商不公平竞争；</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（3）供应商恶意串通；</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（4）其他串通行为；</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（5）未按规定签订合同；</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（6）未按规定履行合同；</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lang w:bidi="ar"/>
        </w:rPr>
        <w:t>（7）在监督检查和投诉处理中提供虚假材料。</w:t>
      </w:r>
    </w:p>
    <w:p>
      <w:pPr>
        <w:pStyle w:val="2"/>
        <w:keepNext w:val="0"/>
        <w:keepLines w:val="0"/>
        <w:pageBreakBefore w:val="0"/>
        <w:widowControl w:val="0"/>
        <w:numPr>
          <w:ilvl w:val="0"/>
          <w:numId w:val="0"/>
        </w:numPr>
        <w:kinsoku/>
        <w:wordWrap/>
        <w:overflowPunct/>
        <w:topLinePunct w:val="0"/>
        <w:bidi w:val="0"/>
        <w:adjustRightInd w:val="0"/>
        <w:snapToGrid/>
        <w:ind w:left="642" w:leftChars="0" w:firstLine="0" w:firstLineChars="0"/>
        <w:jc w:val="left"/>
        <w:rPr>
          <w:rFonts w:hint="eastAsia" w:ascii="黑体" w:hAnsi="黑体" w:eastAsia="黑体" w:cs="黑体"/>
          <w:b/>
          <w:kern w:val="2"/>
          <w:sz w:val="32"/>
          <w:szCs w:val="32"/>
          <w:highlight w:val="none"/>
          <w:lang w:val="en-US" w:eastAsia="zh-CN" w:bidi="ar-SA"/>
        </w:rPr>
      </w:pPr>
      <w:r>
        <w:rPr>
          <w:rFonts w:hint="eastAsia" w:ascii="黑体" w:hAnsi="黑体" w:eastAsia="黑体" w:cs="黑体"/>
          <w:b/>
          <w:kern w:val="2"/>
          <w:sz w:val="32"/>
          <w:szCs w:val="32"/>
          <w:highlight w:val="none"/>
          <w:lang w:val="en-US" w:eastAsia="zh-CN" w:bidi="ar-SA"/>
        </w:rPr>
        <w:t>九、节约型公共机构建设要求，内容如下：</w:t>
      </w:r>
    </w:p>
    <w:p>
      <w:pPr>
        <w:pStyle w:val="2"/>
        <w:keepNext w:val="0"/>
        <w:keepLines w:val="0"/>
        <w:pageBreakBefore w:val="0"/>
        <w:widowControl w:val="0"/>
        <w:numPr>
          <w:ilvl w:val="0"/>
          <w:numId w:val="0"/>
        </w:numPr>
        <w:kinsoku/>
        <w:wordWrap/>
        <w:overflowPunct/>
        <w:topLinePunct w:val="0"/>
        <w:bidi w:val="0"/>
        <w:adjustRightInd w:val="0"/>
        <w:snapToGrid/>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总体要求：中标人需严格遵循《关于在物业管理服务政府采购项目中增加节约型公共机构建设相关要求的指导意见》，将节能、节水、节材、资源循环利用等节约型理念融入物业服务全流程，配合采购人创建节约型公共机构，实现物业服务过程中能耗、水耗、耗材消耗逐年下降。</w:t>
      </w:r>
    </w:p>
    <w:p>
      <w:pPr>
        <w:pStyle w:val="2"/>
        <w:keepNext w:val="0"/>
        <w:keepLines w:val="0"/>
        <w:pageBreakBefore w:val="0"/>
        <w:widowControl w:val="0"/>
        <w:numPr>
          <w:ilvl w:val="0"/>
          <w:numId w:val="0"/>
        </w:numPr>
        <w:kinsoku/>
        <w:wordWrap/>
        <w:overflowPunct/>
        <w:topLinePunct w:val="0"/>
        <w:bidi w:val="0"/>
        <w:adjustRightInd w:val="0"/>
        <w:snapToGrid/>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节能管理要求（</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）优化照明、空调等用电设备运行管理，推广使用节能灯具、节能空调，公共区域照明采用声光控、人体感应等智能控制方式，空调温度设置遵循夏季不低于 26℃、冬季不高于 20℃的要求。（</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）加强配电、水泵等动力设备的节能维保，及时淘汰高耗能设备，对运行设备进行节能改造，提高设备能源利用效率。</w:t>
      </w:r>
    </w:p>
    <w:p>
      <w:pPr>
        <w:pStyle w:val="2"/>
        <w:keepNext w:val="0"/>
        <w:keepLines w:val="0"/>
        <w:pageBreakBefore w:val="0"/>
        <w:widowControl w:val="0"/>
        <w:numPr>
          <w:ilvl w:val="0"/>
          <w:numId w:val="0"/>
        </w:numPr>
        <w:kinsoku/>
        <w:wordWrap/>
        <w:overflowPunct/>
        <w:topLinePunct w:val="0"/>
        <w:bidi w:val="0"/>
        <w:adjustRightInd w:val="0"/>
        <w:snapToGrid/>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节水管理要求（1）对分局机关给排水管网进行定期巡检，及时修复漏水点，杜绝 “跑冒滴漏”现象，公共区域采用节水型水龙头、感应式冲水设备等节水器具。（2）绿化灌溉采用滴灌、喷灌等节水灌溉方式，根据土壤墒情、绿植需求合理安排灌溉时间和水量，优先利用雨水等非常规水源进行绿化灌溉。</w:t>
      </w:r>
    </w:p>
    <w:p>
      <w:pPr>
        <w:pStyle w:val="2"/>
        <w:keepNext w:val="0"/>
        <w:keepLines w:val="0"/>
        <w:pageBreakBefore w:val="0"/>
        <w:widowControl w:val="0"/>
        <w:numPr>
          <w:ilvl w:val="0"/>
          <w:numId w:val="0"/>
        </w:numPr>
        <w:kinsoku/>
        <w:wordWrap/>
        <w:overflowPunct/>
        <w:topLinePunct w:val="0"/>
        <w:bidi w:val="0"/>
        <w:adjustRightInd w:val="0"/>
        <w:snapToGrid/>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节材与资源循环利用要求（1）物业服务过程中优先选用绿色、环保、可循环利用的耗材，减少一次性耗材的使用，如办公用纸双面使用、保洁工具重复利用等。（2）对垃圾分类清运过程中的可回收物（如纸张、塑料、金属等）进行单独收集、存放，配合采购人进行资源回收利用；绿化养护过程中产生的枯枝落叶、草屑等进行堆肥处理，作为绿化肥料循环使用。（3）设备维保过程中优先采用修旧利废方式，减少设备零部件的更换，对更换的废旧零部件、设备进行统一回收处理，避免环境污染。</w:t>
      </w:r>
    </w:p>
    <w:p>
      <w:pPr>
        <w:pStyle w:val="2"/>
        <w:keepNext w:val="0"/>
        <w:keepLines w:val="0"/>
        <w:pageBreakBefore w:val="0"/>
        <w:widowControl w:val="0"/>
        <w:numPr>
          <w:ilvl w:val="0"/>
          <w:numId w:val="0"/>
        </w:numPr>
        <w:kinsoku/>
        <w:wordWrap/>
        <w:overflowPunct/>
        <w:topLinePunct w:val="0"/>
        <w:bidi w:val="0"/>
        <w:adjustRightInd w:val="0"/>
        <w:snapToGrid/>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宣传与配合要求（1）配合采购人开展节约型公共机构建设宣传工作，在公共区域张贴节能、节水、节材宣传标语，组织服务人员及采购人工作人员开展节约知识培训。（2）根据采购人要求，制定年度节约型公共机构建设工作计划并组织实施，每季度向采购人汇报工作计划完成情况，接受采购人对节约工作的考核与监督。</w:t>
      </w:r>
    </w:p>
    <w:p>
      <w:pPr>
        <w:spacing w:line="360" w:lineRule="auto"/>
        <w:jc w:val="center"/>
        <w:outlineLvl w:val="0"/>
        <w:rPr>
          <w:b/>
          <w:sz w:val="36"/>
          <w:szCs w:val="36"/>
        </w:rPr>
      </w:pPr>
    </w:p>
    <w:p>
      <w:pPr>
        <w:pStyle w:val="2"/>
        <w:keepNext w:val="0"/>
        <w:keepLines w:val="0"/>
        <w:pageBreakBefore w:val="0"/>
        <w:widowControl w:val="0"/>
        <w:numPr>
          <w:ilvl w:val="0"/>
          <w:numId w:val="0"/>
        </w:numPr>
        <w:kinsoku/>
        <w:wordWrap/>
        <w:overflowPunct/>
        <w:topLinePunct w:val="0"/>
        <w:bidi w:val="0"/>
        <w:adjustRightInd w:val="0"/>
        <w:snapToGrid/>
        <w:ind w:firstLine="643" w:firstLineChars="200"/>
        <w:jc w:val="left"/>
        <w:rPr>
          <w:rFonts w:hint="eastAsia" w:ascii="仿宋" w:hAnsi="仿宋" w:eastAsia="仿宋" w:cs="仿宋"/>
          <w:b w:val="0"/>
          <w:bCs w:val="0"/>
          <w:sz w:val="32"/>
          <w:szCs w:val="32"/>
          <w:highlight w:val="none"/>
        </w:rPr>
      </w:pPr>
      <w:r>
        <w:rPr>
          <w:rFonts w:hint="eastAsia" w:ascii="黑体" w:hAnsi="黑体" w:eastAsia="黑体" w:cs="黑体"/>
          <w:b/>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C71EF"/>
    <w:rsid w:val="5F242131"/>
    <w:rsid w:val="7C181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2026-03-31T04:30:00Z</dcterms:created>
  <dc:creator>user</dc:creator>
  <cp:lastModifiedBy>11</cp:lastModifiedBy>
  <dcterms:modified xsi:type="dcterms:W3CDTF">2026-04-21T08:37:50Z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